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Цифровые компараторы (от английского </w:t>
      </w:r>
      <w:proofErr w:type="spellStart"/>
      <w:r>
        <w:rPr>
          <w:color w:val="000000"/>
          <w:sz w:val="22"/>
        </w:rPr>
        <w:t>compare</w:t>
      </w:r>
      <w:proofErr w:type="spellEnd"/>
      <w:r>
        <w:rPr>
          <w:color w:val="000000"/>
          <w:sz w:val="22"/>
        </w:rPr>
        <w:t xml:space="preserve"> — сравнивать) выполняют сравнение двух чисел А, </w:t>
      </w:r>
      <w:proofErr w:type="gramStart"/>
      <w:r>
        <w:rPr>
          <w:color w:val="000000"/>
          <w:sz w:val="22"/>
        </w:rPr>
        <w:t>В</w:t>
      </w:r>
      <w:proofErr w:type="gramEnd"/>
      <w:r>
        <w:rPr>
          <w:color w:val="000000"/>
          <w:sz w:val="22"/>
        </w:rPr>
        <w:t xml:space="preserve"> одинаковой разрядности, заданных в двоичном или двоично-десятичном коде. В зависимости от схемного исполнения компараторы могут определять равенство А=В или неравенства </w:t>
      </w:r>
      <w:proofErr w:type="gramStart"/>
      <w:r>
        <w:rPr>
          <w:color w:val="000000"/>
          <w:sz w:val="22"/>
        </w:rPr>
        <w:t>А&lt;</w:t>
      </w:r>
      <w:proofErr w:type="gramEnd"/>
      <w:r>
        <w:rPr>
          <w:color w:val="000000"/>
          <w:sz w:val="22"/>
        </w:rPr>
        <w:t>В, А&gt;В. Результат сравнения отображается в виде логического сигнала на одноименных выходах.</w:t>
      </w:r>
    </w:p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Функционирование компаратора описывается следующими уравнениями:</w:t>
      </w:r>
    </w:p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  <w:lang w:val="en-US"/>
        </w:rPr>
      </w:pPr>
      <w:r>
        <w:rPr>
          <w:color w:val="000000"/>
          <w:position w:val="-30"/>
          <w:sz w:val="22"/>
          <w:lang w:val="en-US"/>
        </w:rPr>
        <w:object w:dxaOrig="2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6pt" o:ole="" fillcolor="window">
            <v:imagedata r:id="rId4" o:title=""/>
          </v:shape>
          <o:OLEObject Type="Embed" ProgID="Equation.3" ShapeID="_x0000_i1025" DrawAspect="Content" ObjectID="_1638212857" r:id="rId5"/>
        </w:object>
      </w:r>
    </w:p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  <w:lang w:val="en-US"/>
        </w:rPr>
      </w:pPr>
      <w:r>
        <w:rPr>
          <w:color w:val="000000"/>
          <w:position w:val="-30"/>
          <w:sz w:val="22"/>
          <w:lang w:val="en-US"/>
        </w:rPr>
        <w:object w:dxaOrig="2420" w:dyaOrig="720">
          <v:shape id="_x0000_i1026" type="#_x0000_t75" style="width:120.75pt;height:36pt" o:ole="" fillcolor="window">
            <v:imagedata r:id="rId6" o:title=""/>
          </v:shape>
          <o:OLEObject Type="Embed" ProgID="Equation.3" ShapeID="_x0000_i1026" DrawAspect="Content" ObjectID="_1638212858" r:id="rId7"/>
        </w:object>
      </w:r>
    </w:p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  <w:lang w:val="en-US"/>
        </w:rPr>
      </w:pPr>
      <w:r>
        <w:rPr>
          <w:color w:val="000000"/>
          <w:position w:val="-30"/>
          <w:sz w:val="22"/>
          <w:lang w:val="en-US"/>
        </w:rPr>
        <w:object w:dxaOrig="2420" w:dyaOrig="720">
          <v:shape id="_x0000_i1027" type="#_x0000_t75" style="width:120.75pt;height:36pt" o:ole="" fillcolor="window">
            <v:imagedata r:id="rId8" o:title=""/>
          </v:shape>
          <o:OLEObject Type="Embed" ProgID="Equation.3" ShapeID="_x0000_i1027" DrawAspect="Content" ObjectID="_1638212859" r:id="rId9"/>
        </w:object>
      </w:r>
    </w:p>
    <w:p w:rsidR="00812FB6" w:rsidRDefault="00812FB6" w:rsidP="00812FB6">
      <w:pPr>
        <w:shd w:val="clear" w:color="auto" w:fill="FFFFFF"/>
        <w:ind w:firstLine="708"/>
        <w:jc w:val="both"/>
        <w:rPr>
          <w:sz w:val="22"/>
        </w:rPr>
      </w:pPr>
      <w:r>
        <w:rPr>
          <w:sz w:val="22"/>
        </w:rPr>
        <w:t>По полученным выражениям составим таблицу истинности (таблица 1).</w:t>
      </w:r>
    </w:p>
    <w:p w:rsidR="00812FB6" w:rsidRDefault="00812FB6" w:rsidP="00812FB6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Таблица 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80"/>
        <w:gridCol w:w="1021"/>
        <w:gridCol w:w="1021"/>
        <w:gridCol w:w="1022"/>
      </w:tblGrid>
      <w:tr w:rsidR="00812FB6" w:rsidTr="00417E9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vertAlign w:val="subscript"/>
              </w:rPr>
            </w:pPr>
            <w:r w:rsidRPr="00091A3D">
              <w:rPr>
                <w:i/>
                <w:sz w:val="28"/>
              </w:rPr>
              <w:t>b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both"/>
              <w:rPr>
                <w:i/>
              </w:rPr>
            </w:pPr>
            <w:r>
              <w:rPr>
                <w:i/>
              </w:rPr>
              <w:t>y</w:t>
            </w:r>
            <w:r>
              <w:rPr>
                <w:vertAlign w:val="subscript"/>
              </w:rPr>
              <w:t>1</w:t>
            </w:r>
            <w:r>
              <w:t>(a=b)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both"/>
              <w:rPr>
                <w:i/>
              </w:rPr>
            </w:pPr>
            <w:r>
              <w:rPr>
                <w:i/>
              </w:rPr>
              <w:t>y</w:t>
            </w:r>
            <w:r>
              <w:rPr>
                <w:vertAlign w:val="subscript"/>
              </w:rPr>
              <w:t>2</w:t>
            </w:r>
            <w:r>
              <w:t>(a&gt;b)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both"/>
              <w:rPr>
                <w:i/>
              </w:rPr>
            </w:pPr>
            <w:r>
              <w:rPr>
                <w:i/>
              </w:rPr>
              <w:t>y</w:t>
            </w:r>
            <w:r>
              <w:rPr>
                <w:vertAlign w:val="subscript"/>
              </w:rPr>
              <w:t>3</w:t>
            </w:r>
            <w:r>
              <w:t>(a&lt;b)</w:t>
            </w:r>
          </w:p>
        </w:tc>
      </w:tr>
      <w:tr w:rsidR="00812FB6" w:rsidTr="00417E9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12FB6" w:rsidTr="00417E9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2FB6" w:rsidTr="0041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12FB6" w:rsidTr="00417E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22" w:type="dxa"/>
            <w:vAlign w:val="center"/>
          </w:tcPr>
          <w:p w:rsidR="00812FB6" w:rsidRDefault="00812FB6" w:rsidP="00417E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812FB6" w:rsidRDefault="00812FB6" w:rsidP="00812FB6">
      <w:pPr>
        <w:ind w:firstLine="708"/>
        <w:jc w:val="both"/>
      </w:pPr>
    </w:p>
    <w:p w:rsidR="00812FB6" w:rsidRDefault="00812FB6" w:rsidP="00812FB6">
      <w:pPr>
        <w:shd w:val="clear" w:color="auto" w:fill="FFFFFF"/>
        <w:ind w:firstLine="708"/>
        <w:jc w:val="both"/>
        <w:rPr>
          <w:sz w:val="22"/>
        </w:rPr>
      </w:pPr>
    </w:p>
    <w:p w:rsidR="00812FB6" w:rsidRDefault="00812FB6" w:rsidP="00812FB6">
      <w:pPr>
        <w:spacing w:line="264" w:lineRule="auto"/>
        <w:rPr>
          <w:snapToGrid w:val="0"/>
          <w:color w:val="000000"/>
        </w:rPr>
      </w:pPr>
      <w:r>
        <w:rPr>
          <w:snapToGrid w:val="0"/>
          <w:color w:val="000000"/>
        </w:rPr>
        <w:tab/>
        <w:t xml:space="preserve">Из таблицы 1 получаем функции </w:t>
      </w:r>
      <w:r>
        <w:rPr>
          <w:snapToGrid w:val="0"/>
          <w:color w:val="000000"/>
          <w:lang w:val="en-US"/>
        </w:rPr>
        <w:t>y</w:t>
      </w:r>
      <w:r w:rsidRPr="00091A3D">
        <w:rPr>
          <w:snapToGrid w:val="0"/>
          <w:color w:val="000000"/>
        </w:rPr>
        <w:t xml:space="preserve">1, </w:t>
      </w:r>
      <w:r>
        <w:rPr>
          <w:snapToGrid w:val="0"/>
          <w:color w:val="000000"/>
          <w:lang w:val="en-US"/>
        </w:rPr>
        <w:t>y</w:t>
      </w:r>
      <w:r w:rsidRPr="00091A3D">
        <w:rPr>
          <w:snapToGrid w:val="0"/>
          <w:color w:val="000000"/>
        </w:rPr>
        <w:t xml:space="preserve">2, </w:t>
      </w:r>
      <w:r>
        <w:rPr>
          <w:snapToGrid w:val="0"/>
          <w:color w:val="000000"/>
          <w:lang w:val="en-US"/>
        </w:rPr>
        <w:t>y</w:t>
      </w:r>
      <w:r w:rsidRPr="00091A3D">
        <w:rPr>
          <w:snapToGrid w:val="0"/>
          <w:color w:val="000000"/>
        </w:rPr>
        <w:t>3</w:t>
      </w:r>
      <w:r>
        <w:rPr>
          <w:snapToGrid w:val="0"/>
          <w:color w:val="000000"/>
        </w:rPr>
        <w:t>:</w:t>
      </w:r>
    </w:p>
    <w:p w:rsidR="00812FB6" w:rsidRDefault="00812FB6" w:rsidP="00812FB6">
      <w:pPr>
        <w:spacing w:line="264" w:lineRule="auto"/>
        <w:rPr>
          <w:snapToGrid w:val="0"/>
          <w:color w:val="000000"/>
        </w:rPr>
      </w:pPr>
      <w:r w:rsidRPr="00091A3D">
        <w:rPr>
          <w:i/>
          <w:snapToGrid w:val="0"/>
          <w:color w:val="000000"/>
        </w:rPr>
        <w:t xml:space="preserve">   </w:t>
      </w:r>
      <w:r>
        <w:rPr>
          <w:rFonts w:eastAsia="SymbolMT"/>
          <w:snapToGrid w:val="0"/>
          <w:color w:val="000000"/>
          <w:position w:val="-10"/>
          <w:lang w:val="en-US"/>
        </w:rPr>
        <w:object w:dxaOrig="2040" w:dyaOrig="380">
          <v:shape id="_x0000_i1028" type="#_x0000_t75" style="width:102pt;height:18.75pt" o:ole="" fillcolor="window">
            <v:imagedata r:id="rId10" o:title=""/>
          </v:shape>
          <o:OLEObject Type="Embed" ProgID="Equation.3" ShapeID="_x0000_i1028" DrawAspect="Content" ObjectID="_1638212860" r:id="rId11"/>
        </w:object>
      </w:r>
      <w:r>
        <w:rPr>
          <w:rFonts w:eastAsia="SymbolMT"/>
          <w:snapToGrid w:val="0"/>
          <w:color w:val="000000"/>
        </w:rPr>
        <w:t xml:space="preserve"> </w:t>
      </w:r>
      <w:r>
        <w:rPr>
          <w:snapToGrid w:val="0"/>
          <w:color w:val="000000"/>
        </w:rPr>
        <w:t>- функция равнозначности.</w:t>
      </w:r>
    </w:p>
    <w:p w:rsidR="00812FB6" w:rsidRDefault="00812FB6" w:rsidP="00812FB6">
      <w:pPr>
        <w:spacing w:line="264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</w:t>
      </w:r>
      <w:r>
        <w:object w:dxaOrig="1440" w:dyaOrig="1440">
          <v:shape id="_x0000_s1026" type="#_x0000_t75" style="position:absolute;margin-left:9.75pt;margin-top:3pt;width:63pt;height:19pt;z-index:251659264;mso-position-horizontal-relative:text;mso-position-vertical-relative:text" o:allowincell="f">
            <v:imagedata r:id="rId12" o:title=""/>
            <w10:anchorlock/>
          </v:shape>
          <o:OLEObject Type="Embed" ProgID="Equation.3" ShapeID="_x0000_s1026" DrawAspect="Content" ObjectID="_1638212863" r:id="rId13"/>
        </w:object>
      </w:r>
    </w:p>
    <w:p w:rsidR="00812FB6" w:rsidRPr="00091A3D" w:rsidRDefault="00812FB6" w:rsidP="00812FB6">
      <w:pPr>
        <w:spacing w:line="264" w:lineRule="auto"/>
        <w:ind w:firstLine="340"/>
        <w:rPr>
          <w:snapToGrid w:val="0"/>
          <w:color w:val="000000"/>
        </w:rPr>
      </w:pPr>
    </w:p>
    <w:p w:rsidR="00812FB6" w:rsidRPr="00091A3D" w:rsidRDefault="00812FB6" w:rsidP="00812FB6">
      <w:pPr>
        <w:spacing w:line="264" w:lineRule="auto"/>
        <w:ind w:firstLine="340"/>
        <w:rPr>
          <w:snapToGrid w:val="0"/>
          <w:color w:val="000000"/>
        </w:rPr>
      </w:pPr>
      <w:r>
        <w:object w:dxaOrig="1440" w:dyaOrig="1440">
          <v:shape id="_x0000_s1027" type="#_x0000_t75" style="position:absolute;left:0;text-align:left;margin-left:10.5pt;margin-top:-3.75pt;width:62pt;height:19pt;z-index:251660288" o:allowincell="f">
            <v:imagedata r:id="rId14" o:title=""/>
            <w10:anchorlock/>
          </v:shape>
          <o:OLEObject Type="Embed" ProgID="Equation.3" ShapeID="_x0000_s1027" DrawAspect="Content" ObjectID="_1638212864" r:id="rId15"/>
        </w:object>
      </w:r>
    </w:p>
    <w:p w:rsidR="00812FB6" w:rsidRDefault="00812FB6" w:rsidP="00812FB6">
      <w:pPr>
        <w:spacing w:line="264" w:lineRule="auto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Функция </w:t>
      </w:r>
      <w:r>
        <w:rPr>
          <w:snapToGrid w:val="0"/>
          <w:color w:val="000000"/>
          <w:lang w:val="en-US"/>
        </w:rPr>
        <w:t>y</w:t>
      </w:r>
      <w:r w:rsidRPr="00091A3D">
        <w:rPr>
          <w:snapToGrid w:val="0"/>
          <w:color w:val="000000"/>
        </w:rPr>
        <w:t xml:space="preserve">1 </w:t>
      </w:r>
      <w:r>
        <w:rPr>
          <w:snapToGrid w:val="0"/>
          <w:color w:val="000000"/>
        </w:rPr>
        <w:t>носит название функции равнозначности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(эквивалентности).</w:t>
      </w:r>
    </w:p>
    <w:p w:rsidR="00812FB6" w:rsidRDefault="00812FB6" w:rsidP="00812FB6">
      <w:pPr>
        <w:spacing w:line="264" w:lineRule="auto"/>
        <w:jc w:val="both"/>
      </w:pPr>
      <w:r>
        <w:rPr>
          <w:snapToGrid w:val="0"/>
          <w:color w:val="000000"/>
        </w:rPr>
        <w:t xml:space="preserve">Построим компаратор на логических элементах. </w:t>
      </w:r>
      <w:r>
        <w:rPr>
          <w:color w:val="000000"/>
          <w:sz w:val="22"/>
        </w:rPr>
        <w:t xml:space="preserve">Схема одноразрядного компаратора приведена на рис. 5.1. </w:t>
      </w:r>
    </w:p>
    <w:p w:rsidR="00812FB6" w:rsidRDefault="00812FB6" w:rsidP="00812FB6">
      <w:pPr>
        <w:spacing w:line="360" w:lineRule="auto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2971800" cy="396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B6" w:rsidRDefault="00812FB6" w:rsidP="00812FB6">
      <w:pPr>
        <w:spacing w:line="360" w:lineRule="auto"/>
        <w:ind w:firstLine="709"/>
        <w:jc w:val="both"/>
      </w:pPr>
      <w:r>
        <w:t>Рис.5.1 – Логическая схема одноразрядного компаратора</w:t>
      </w:r>
    </w:p>
    <w:p w:rsidR="00812FB6" w:rsidRDefault="00812FB6" w:rsidP="00812FB6">
      <w:pPr>
        <w:ind w:firstLine="34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Компаратор состоит из двух элементов НЕ, четырех элементов </w:t>
      </w:r>
      <w:proofErr w:type="gramStart"/>
      <w:r>
        <w:rPr>
          <w:color w:val="000000"/>
          <w:sz w:val="22"/>
        </w:rPr>
        <w:t>И</w:t>
      </w:r>
      <w:proofErr w:type="gramEnd"/>
      <w:r>
        <w:rPr>
          <w:color w:val="000000"/>
          <w:sz w:val="22"/>
        </w:rPr>
        <w:t>, и одного элемента ИЛИ-НЕ.</w:t>
      </w:r>
    </w:p>
    <w:p w:rsidR="00812FB6" w:rsidRDefault="00812FB6" w:rsidP="00812FB6">
      <w:pPr>
        <w:spacing w:line="264" w:lineRule="auto"/>
        <w:ind w:firstLine="3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Чаще всего задача состоит в определении </w:t>
      </w:r>
      <w:proofErr w:type="gramStart"/>
      <w:r>
        <w:rPr>
          <w:snapToGrid w:val="0"/>
          <w:color w:val="000000"/>
        </w:rPr>
        <w:t>равнозначности  двух</w:t>
      </w:r>
      <w:proofErr w:type="gramEnd"/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многоразрядных чисел A и В. Такое сравнение реализуется переключательными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функциями. Для каждого разряда </w:t>
      </w:r>
      <w:proofErr w:type="spellStart"/>
      <w:r>
        <w:rPr>
          <w:snapToGrid w:val="0"/>
          <w:color w:val="000000"/>
          <w:lang w:val="en-US"/>
        </w:rPr>
        <w:t>i</w:t>
      </w:r>
      <w:proofErr w:type="spellEnd"/>
      <w:r>
        <w:rPr>
          <w:snapToGrid w:val="0"/>
          <w:color w:val="000000"/>
        </w:rPr>
        <w:t xml:space="preserve"> можно записать:</w:t>
      </w:r>
    </w:p>
    <w:p w:rsidR="00812FB6" w:rsidRPr="00091A3D" w:rsidRDefault="00812FB6" w:rsidP="00812FB6">
      <w:pPr>
        <w:spacing w:line="264" w:lineRule="auto"/>
        <w:ind w:firstLine="340"/>
        <w:rPr>
          <w:rFonts w:eastAsia="SymbolMT"/>
          <w:snapToGrid w:val="0"/>
          <w:color w:val="000000"/>
        </w:rPr>
      </w:pPr>
      <w:r>
        <w:rPr>
          <w:rFonts w:eastAsia="SymbolMT"/>
          <w:snapToGrid w:val="0"/>
          <w:color w:val="000000"/>
          <w:position w:val="-6"/>
          <w:lang w:val="en-US"/>
        </w:rPr>
        <w:object w:dxaOrig="2060" w:dyaOrig="340">
          <v:shape id="_x0000_i1030" type="#_x0000_t75" style="width:102.75pt;height:17.25pt" o:ole="" fillcolor="window">
            <v:imagedata r:id="rId17" o:title=""/>
          </v:shape>
          <o:OLEObject Type="Embed" ProgID="Equation.3" ShapeID="_x0000_i1030" DrawAspect="Content" ObjectID="_1638212861" r:id="rId18"/>
        </w:object>
      </w:r>
      <w:r w:rsidRPr="00091A3D">
        <w:rPr>
          <w:rFonts w:eastAsia="SymbolMT"/>
          <w:snapToGrid w:val="0"/>
          <w:color w:val="000000"/>
        </w:rPr>
        <w:t>.</w:t>
      </w:r>
    </w:p>
    <w:p w:rsidR="00812FB6" w:rsidRDefault="00812FB6" w:rsidP="00812FB6">
      <w:pPr>
        <w:spacing w:line="264" w:lineRule="auto"/>
        <w:ind w:firstLine="340"/>
        <w:jc w:val="both"/>
        <w:rPr>
          <w:rFonts w:eastAsia="SymbolMT"/>
          <w:snapToGrid w:val="0"/>
          <w:color w:val="000000"/>
        </w:rPr>
      </w:pPr>
      <w:r>
        <w:rPr>
          <w:rFonts w:eastAsia="SymbolMT"/>
          <w:snapToGrid w:val="0"/>
          <w:color w:val="000000"/>
        </w:rPr>
        <w:t xml:space="preserve">Это равенство должно выполняться для всех </w:t>
      </w:r>
      <w:r>
        <w:rPr>
          <w:rFonts w:eastAsia="SymbolMT"/>
          <w:b/>
          <w:snapToGrid w:val="0"/>
          <w:color w:val="000000"/>
        </w:rPr>
        <w:t>n</w:t>
      </w:r>
      <w:r>
        <w:rPr>
          <w:rFonts w:eastAsia="SymbolMT"/>
          <w:snapToGrid w:val="0"/>
          <w:color w:val="000000"/>
        </w:rPr>
        <w:t xml:space="preserve"> разрядов, т.е. выходной сигнал</w:t>
      </w:r>
    </w:p>
    <w:p w:rsidR="00812FB6" w:rsidRDefault="00812FB6" w:rsidP="00812FB6">
      <w:pPr>
        <w:spacing w:line="264" w:lineRule="auto"/>
        <w:ind w:firstLine="340"/>
        <w:rPr>
          <w:snapToGrid w:val="0"/>
          <w:color w:val="000000"/>
        </w:rPr>
      </w:pPr>
      <w:r>
        <w:rPr>
          <w:rFonts w:eastAsia="SymbolMT"/>
          <w:snapToGrid w:val="0"/>
          <w:color w:val="000000"/>
          <w:position w:val="-12"/>
          <w:lang w:val="en-US"/>
        </w:rPr>
        <w:object w:dxaOrig="6060" w:dyaOrig="400">
          <v:shape id="_x0000_i1031" type="#_x0000_t75" style="width:303pt;height:20.25pt" o:ole="" fillcolor="window">
            <v:imagedata r:id="rId19" o:title=""/>
          </v:shape>
          <o:OLEObject Type="Embed" ProgID="Equation.3" ShapeID="_x0000_i1031" DrawAspect="Content" ObjectID="_1638212862" r:id="rId20"/>
        </w:object>
      </w:r>
      <w:r w:rsidRPr="00091A3D">
        <w:rPr>
          <w:rFonts w:eastAsia="SymbolMT"/>
          <w:snapToGrid w:val="0"/>
          <w:color w:val="000000"/>
        </w:rPr>
        <w:t>.</w:t>
      </w:r>
    </w:p>
    <w:p w:rsidR="00812FB6" w:rsidRDefault="00812FB6" w:rsidP="00812FB6">
      <w:pPr>
        <w:spacing w:line="264" w:lineRule="auto"/>
        <w:ind w:firstLine="340"/>
        <w:rPr>
          <w:snapToGrid w:val="0"/>
          <w:color w:val="000000"/>
        </w:rPr>
      </w:pPr>
      <w:r>
        <w:rPr>
          <w:snapToGrid w:val="0"/>
          <w:color w:val="000000"/>
        </w:rPr>
        <w:t>Схемы компаратора приведены на рис.5.2 и 5.3.</w:t>
      </w:r>
    </w:p>
    <w:p w:rsidR="00812FB6" w:rsidRPr="00091A3D" w:rsidRDefault="00812FB6" w:rsidP="00812FB6">
      <w:pPr>
        <w:spacing w:line="264" w:lineRule="auto"/>
        <w:ind w:firstLine="340"/>
        <w:rPr>
          <w:snapToGrid w:val="0"/>
          <w:color w:val="000000"/>
        </w:rPr>
      </w:pPr>
    </w:p>
    <w:p w:rsidR="00812FB6" w:rsidRDefault="00812FB6" w:rsidP="00812FB6">
      <w:pPr>
        <w:rPr>
          <w:snapToGrid w:val="0"/>
          <w:color w:val="000000"/>
          <w:lang w:val="en-US"/>
        </w:rPr>
      </w:pPr>
      <w:r>
        <w:rPr>
          <w:noProof/>
          <w:snapToGrid w:val="0"/>
          <w:color w:val="000000"/>
        </w:rPr>
        <w:drawing>
          <wp:inline distT="0" distB="0" distL="0" distR="0">
            <wp:extent cx="2200275" cy="2276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B6" w:rsidRDefault="00812FB6" w:rsidP="00812FB6">
      <w:pPr>
        <w:rPr>
          <w:snapToGrid w:val="0"/>
          <w:color w:val="000000"/>
          <w:lang w:val="en-US"/>
        </w:rPr>
      </w:pPr>
    </w:p>
    <w:p w:rsidR="00812FB6" w:rsidRDefault="00812FB6" w:rsidP="00812FB6">
      <w:pPr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Рис.5.2. Многоразрядный компаратор на элементах «равнозначность»</w:t>
      </w:r>
    </w:p>
    <w:p w:rsidR="00812FB6" w:rsidRDefault="00812FB6" w:rsidP="00812FB6">
      <w:pPr>
        <w:rPr>
          <w:snapToGrid w:val="0"/>
          <w:color w:val="000000"/>
          <w:sz w:val="20"/>
        </w:rPr>
      </w:pPr>
    </w:p>
    <w:p w:rsidR="00812FB6" w:rsidRDefault="00812FB6" w:rsidP="00812FB6">
      <w:pPr>
        <w:spacing w:line="264" w:lineRule="auto"/>
        <w:ind w:firstLine="3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При сравнении многоразрядных чисел алгоритм такой — сначала сравнивают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значения старших разрядов; если они различны, то эти разряды и определяют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результат сравнения. Если же они равны, то необходимо сравнивать следующие за</w:t>
      </w:r>
      <w:r w:rsidRPr="00091A3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ним более младшие разряды и т.д.</w:t>
      </w:r>
    </w:p>
    <w:p w:rsidR="00812FB6" w:rsidRDefault="00812FB6" w:rsidP="00812FB6">
      <w:pPr>
        <w:rPr>
          <w:snapToGrid w:val="0"/>
          <w:color w:val="000000"/>
          <w:lang w:val="en-US"/>
        </w:rPr>
      </w:pPr>
      <w:r>
        <w:rPr>
          <w:noProof/>
          <w:snapToGrid w:val="0"/>
          <w:color w:val="000000"/>
        </w:rPr>
        <w:drawing>
          <wp:inline distT="0" distB="0" distL="0" distR="0">
            <wp:extent cx="2219325" cy="2286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B6" w:rsidRDefault="00812FB6" w:rsidP="00812FB6">
      <w:pPr>
        <w:rPr>
          <w:snapToGrid w:val="0"/>
          <w:color w:val="000000"/>
          <w:sz w:val="20"/>
        </w:rPr>
      </w:pPr>
    </w:p>
    <w:p w:rsidR="00812FB6" w:rsidRDefault="00812FB6" w:rsidP="00812FB6">
      <w:pPr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Рис.5.3. Многоразрядный компаратор на элементах «</w:t>
      </w:r>
      <w:r>
        <w:rPr>
          <w:b/>
          <w:snapToGrid w:val="0"/>
          <w:color w:val="000000"/>
          <w:sz w:val="20"/>
        </w:rPr>
        <w:t>неравнозначность</w:t>
      </w:r>
      <w:r>
        <w:rPr>
          <w:snapToGrid w:val="0"/>
          <w:color w:val="000000"/>
          <w:sz w:val="20"/>
        </w:rPr>
        <w:t>» (</w:t>
      </w:r>
      <w:r>
        <w:rPr>
          <w:b/>
          <w:snapToGrid w:val="0"/>
          <w:color w:val="000000"/>
          <w:sz w:val="20"/>
        </w:rPr>
        <w:t>исключающее ИЛИ</w:t>
      </w:r>
      <w:r>
        <w:rPr>
          <w:snapToGrid w:val="0"/>
          <w:color w:val="000000"/>
          <w:sz w:val="20"/>
        </w:rPr>
        <w:t>)</w:t>
      </w:r>
    </w:p>
    <w:p w:rsidR="00812FB6" w:rsidRPr="00091A3D" w:rsidRDefault="00812FB6" w:rsidP="00812FB6">
      <w:pPr>
        <w:rPr>
          <w:snapToGrid w:val="0"/>
          <w:color w:val="000000"/>
        </w:rPr>
      </w:pPr>
    </w:p>
    <w:p w:rsidR="00812FB6" w:rsidRPr="00091A3D" w:rsidRDefault="00812FB6" w:rsidP="00812FB6">
      <w:pPr>
        <w:rPr>
          <w:snapToGrid w:val="0"/>
          <w:color w:val="000000"/>
        </w:rPr>
      </w:pPr>
      <w:r>
        <w:rPr>
          <w:snapToGrid w:val="0"/>
          <w:color w:val="000000"/>
        </w:rPr>
        <w:t>Условное графическое обозначение цифрового компаратора приведено на рис.5.4.</w:t>
      </w:r>
    </w:p>
    <w:p w:rsidR="00812FB6" w:rsidRPr="00091A3D" w:rsidRDefault="00812FB6" w:rsidP="00812FB6">
      <w:pPr>
        <w:rPr>
          <w:snapToGrid w:val="0"/>
          <w:color w:val="000000"/>
        </w:rPr>
      </w:pPr>
    </w:p>
    <w:p w:rsidR="00812FB6" w:rsidRDefault="00812FB6" w:rsidP="00812FB6">
      <w:pPr>
        <w:rPr>
          <w:snapToGrid w:val="0"/>
          <w:color w:val="000000"/>
          <w:lang w:val="en-US"/>
        </w:rPr>
      </w:pPr>
      <w:r>
        <w:rPr>
          <w:noProof/>
          <w:snapToGrid w:val="0"/>
          <w:color w:val="000000"/>
        </w:rPr>
        <w:drawing>
          <wp:inline distT="0" distB="0" distL="0" distR="0">
            <wp:extent cx="2038350" cy="2333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B6" w:rsidRDefault="00812FB6" w:rsidP="00812FB6">
      <w:pPr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Рис. 5.</w:t>
      </w:r>
      <w:proofErr w:type="gramStart"/>
      <w:r>
        <w:rPr>
          <w:snapToGrid w:val="0"/>
          <w:color w:val="000000"/>
          <w:sz w:val="20"/>
        </w:rPr>
        <w:t>4.Условное</w:t>
      </w:r>
      <w:proofErr w:type="gramEnd"/>
      <w:r>
        <w:rPr>
          <w:snapToGrid w:val="0"/>
          <w:color w:val="000000"/>
          <w:sz w:val="20"/>
        </w:rPr>
        <w:t xml:space="preserve"> обозначение цифрового компаратора.</w:t>
      </w:r>
    </w:p>
    <w:p w:rsidR="00812FB6" w:rsidRPr="00091A3D" w:rsidRDefault="00812FB6" w:rsidP="00812FB6">
      <w:pPr>
        <w:rPr>
          <w:snapToGrid w:val="0"/>
          <w:color w:val="000000"/>
          <w:sz w:val="20"/>
        </w:rPr>
      </w:pPr>
    </w:p>
    <w:p w:rsidR="00812FB6" w:rsidRDefault="00812FB6" w:rsidP="00812FB6">
      <w:pPr>
        <w:shd w:val="clear" w:color="auto" w:fill="FFFFFF"/>
        <w:ind w:firstLine="708"/>
        <w:jc w:val="both"/>
        <w:rPr>
          <w:color w:val="000000"/>
          <w:sz w:val="22"/>
        </w:rPr>
      </w:pPr>
      <w:r>
        <w:rPr>
          <w:color w:val="000000"/>
          <w:sz w:val="22"/>
        </w:rPr>
        <w:t>Цифровые компараторы применяются для выявления нужного числа (слова) в цифровых последовательностях, для отметки времени в часовых приборах, для выполнения условных переходов в вычислительных устройствах, а также в адресных селекторах.</w:t>
      </w:r>
    </w:p>
    <w:p w:rsidR="009C6212" w:rsidRDefault="009C6212">
      <w:bookmarkStart w:id="0" w:name="_GoBack"/>
      <w:bookmarkEnd w:id="0"/>
    </w:p>
    <w:sectPr w:rsidR="009C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B6"/>
    <w:rsid w:val="00812FB6"/>
    <w:rsid w:val="009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7F83FC3-E83D-46F6-B7FC-3140A428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F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2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2019-12-18T16:20:00Z</dcterms:created>
  <dcterms:modified xsi:type="dcterms:W3CDTF">2019-12-18T16:20:00Z</dcterms:modified>
</cp:coreProperties>
</file>